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825CD" w14:textId="7227D2B0" w:rsidR="00B84690" w:rsidRPr="007C7762" w:rsidRDefault="00192F3A" w:rsidP="00B84690">
      <w:pPr>
        <w:pStyle w:val="3GPPHeader"/>
        <w:spacing w:after="60"/>
      </w:pPr>
      <w:r w:rsidRPr="007C7762">
        <w:t>3GPP TSG-RAN WG2</w:t>
      </w:r>
      <w:r w:rsidR="00F75C8F">
        <w:t>NR</w:t>
      </w:r>
      <w:r w:rsidR="008666B3">
        <w:t xml:space="preserve"> </w:t>
      </w:r>
      <w:r w:rsidR="00F75C8F">
        <w:t>AH#1801</w:t>
      </w:r>
      <w:r w:rsidR="00FA0F93">
        <w:tab/>
      </w:r>
      <w:r w:rsidR="00CB5DBA" w:rsidRPr="00CB5DBA">
        <w:t>R2-1801020</w:t>
      </w:r>
    </w:p>
    <w:p w14:paraId="169EEC3D" w14:textId="056B1423" w:rsidR="00B84690" w:rsidRPr="007C7762" w:rsidRDefault="008666B3" w:rsidP="00F27E6A">
      <w:pPr>
        <w:pStyle w:val="3GPPHeader"/>
        <w:rPr>
          <w:b w:val="0"/>
          <w:noProof/>
        </w:rPr>
      </w:pPr>
      <w:r>
        <w:rPr>
          <w:noProof/>
        </w:rPr>
        <w:t>Vancouver, Canada, 22</w:t>
      </w:r>
      <w:r w:rsidRPr="008666B3">
        <w:rPr>
          <w:noProof/>
          <w:vertAlign w:val="superscript"/>
        </w:rPr>
        <w:t>nd</w:t>
      </w:r>
      <w:r>
        <w:rPr>
          <w:noProof/>
        </w:rPr>
        <w:t>-26</w:t>
      </w:r>
      <w:r w:rsidRPr="008666B3">
        <w:rPr>
          <w:noProof/>
          <w:vertAlign w:val="superscript"/>
        </w:rPr>
        <w:t>th</w:t>
      </w:r>
      <w:r>
        <w:rPr>
          <w:noProof/>
        </w:rPr>
        <w:t xml:space="preserve"> January 2018</w:t>
      </w:r>
      <w:r w:rsidR="001A236B" w:rsidRPr="007C7762">
        <w:tab/>
      </w:r>
      <w:r w:rsidR="007C7762" w:rsidRPr="007C7762">
        <w:t>(</w:t>
      </w:r>
      <w:r w:rsidR="00823825" w:rsidRPr="007C7762">
        <w:t>Re</w:t>
      </w:r>
      <w:r w:rsidR="00823825">
        <w:t>vision</w:t>
      </w:r>
      <w:r w:rsidR="00823825" w:rsidRPr="007C7762">
        <w:t xml:space="preserve"> </w:t>
      </w:r>
      <w:r w:rsidR="001A236B" w:rsidRPr="007C7762">
        <w:t>of R2-</w:t>
      </w:r>
      <w:r w:rsidR="00F75C8F">
        <w:t>1713403</w:t>
      </w:r>
      <w:r w:rsidR="007C7762" w:rsidRPr="007C7762">
        <w:t>)</w:t>
      </w:r>
    </w:p>
    <w:p w14:paraId="2636E1A4" w14:textId="77777777" w:rsidR="00E90E49" w:rsidRPr="007C7762" w:rsidRDefault="00E90E49" w:rsidP="00357380">
      <w:pPr>
        <w:pStyle w:val="3GPPHeader"/>
      </w:pPr>
    </w:p>
    <w:p w14:paraId="227B0EC5" w14:textId="39327E5F" w:rsidR="00E90E49" w:rsidRPr="007C7762" w:rsidRDefault="00E90E49" w:rsidP="00311702">
      <w:pPr>
        <w:pStyle w:val="3GPPHeader"/>
        <w:rPr>
          <w:sz w:val="22"/>
        </w:rPr>
      </w:pPr>
      <w:r w:rsidRPr="007C7762">
        <w:rPr>
          <w:sz w:val="22"/>
        </w:rPr>
        <w:t>Agenda Item:</w:t>
      </w:r>
      <w:r w:rsidRPr="007C7762">
        <w:rPr>
          <w:sz w:val="22"/>
        </w:rPr>
        <w:tab/>
      </w:r>
      <w:r w:rsidR="000D1531" w:rsidRPr="007C7762">
        <w:rPr>
          <w:sz w:val="22"/>
        </w:rPr>
        <w:t>10.</w:t>
      </w:r>
      <w:r w:rsidR="008666B3">
        <w:rPr>
          <w:sz w:val="22"/>
        </w:rPr>
        <w:t>2.7</w:t>
      </w:r>
    </w:p>
    <w:p w14:paraId="65F26C43" w14:textId="77777777" w:rsidR="00E90E49" w:rsidRPr="007C7762" w:rsidRDefault="003D3C45" w:rsidP="00F64C2B">
      <w:pPr>
        <w:pStyle w:val="3GPPHeader"/>
        <w:rPr>
          <w:sz w:val="22"/>
        </w:rPr>
      </w:pPr>
      <w:r w:rsidRPr="007C7762">
        <w:rPr>
          <w:sz w:val="22"/>
        </w:rPr>
        <w:t>Source:</w:t>
      </w:r>
      <w:r w:rsidR="00E90E49" w:rsidRPr="007C7762">
        <w:rPr>
          <w:sz w:val="22"/>
        </w:rPr>
        <w:tab/>
      </w:r>
      <w:r w:rsidR="00F64C2B" w:rsidRPr="007C7762">
        <w:rPr>
          <w:sz w:val="22"/>
        </w:rPr>
        <w:t>Ericsson</w:t>
      </w:r>
    </w:p>
    <w:p w14:paraId="2030383C" w14:textId="130B6CE1" w:rsidR="00E90E49" w:rsidRPr="007C7762" w:rsidRDefault="003D3C45" w:rsidP="00311702">
      <w:pPr>
        <w:pStyle w:val="3GPPHeader"/>
        <w:rPr>
          <w:sz w:val="22"/>
        </w:rPr>
      </w:pPr>
      <w:r w:rsidRPr="007C7762">
        <w:rPr>
          <w:sz w:val="22"/>
        </w:rPr>
        <w:t>Title:</w:t>
      </w:r>
      <w:r w:rsidR="00E90E49" w:rsidRPr="007C7762">
        <w:rPr>
          <w:sz w:val="22"/>
        </w:rPr>
        <w:tab/>
      </w:r>
      <w:r w:rsidR="00745C1D" w:rsidRPr="007C7762">
        <w:rPr>
          <w:sz w:val="22"/>
        </w:rPr>
        <w:t>RACH-less HO</w:t>
      </w:r>
      <w:r w:rsidR="00463489" w:rsidRPr="007C7762">
        <w:rPr>
          <w:sz w:val="22"/>
        </w:rPr>
        <w:t xml:space="preserve"> </w:t>
      </w:r>
      <w:r w:rsidR="00CC35AF" w:rsidRPr="007C7762">
        <w:rPr>
          <w:sz w:val="22"/>
        </w:rPr>
        <w:t>in</w:t>
      </w:r>
      <w:r w:rsidR="00690DB5" w:rsidRPr="007C7762">
        <w:rPr>
          <w:sz w:val="22"/>
        </w:rPr>
        <w:t xml:space="preserve"> NR</w:t>
      </w:r>
      <w:r w:rsidR="00463489" w:rsidRPr="007C7762">
        <w:rPr>
          <w:sz w:val="22"/>
        </w:rPr>
        <w:t xml:space="preserve"> when UE is in CA or DC</w:t>
      </w:r>
    </w:p>
    <w:p w14:paraId="74EA0CDE" w14:textId="77777777" w:rsidR="00E90E49" w:rsidRPr="00CE0424" w:rsidRDefault="00E90E49" w:rsidP="00D546FF">
      <w:pPr>
        <w:pStyle w:val="3GPPHeader"/>
        <w:rPr>
          <w:sz w:val="22"/>
        </w:rPr>
      </w:pPr>
      <w:r w:rsidRPr="007C7762">
        <w:rPr>
          <w:sz w:val="22"/>
        </w:rPr>
        <w:t>Document for:</w:t>
      </w:r>
      <w:r w:rsidRPr="007C7762">
        <w:rPr>
          <w:sz w:val="22"/>
        </w:rPr>
        <w:tab/>
        <w:t>Discussion, Decision</w:t>
      </w:r>
    </w:p>
    <w:p w14:paraId="51FC8DE5" w14:textId="77777777" w:rsidR="00E90E49" w:rsidRDefault="00E90E49" w:rsidP="00CE0424">
      <w:pPr>
        <w:pStyle w:val="Heading1"/>
      </w:pPr>
      <w:r w:rsidRPr="00CE0424">
        <w:t>Introduction</w:t>
      </w:r>
    </w:p>
    <w:p w14:paraId="5CB8FEF5" w14:textId="5B3449AF" w:rsidR="00727BD9" w:rsidRDefault="00727BD9" w:rsidP="00727BD9">
      <w:r>
        <w:t xml:space="preserve">In LTE, </w:t>
      </w:r>
      <w:r w:rsidR="001250A6">
        <w:t xml:space="preserve">before R-14, </w:t>
      </w:r>
      <w:r w:rsidR="00224161">
        <w:t>HO procedure</w:t>
      </w:r>
      <w:r>
        <w:t xml:space="preserve"> is handled with RRC connection reconfiguration procedure with </w:t>
      </w:r>
      <w:proofErr w:type="spellStart"/>
      <w:r w:rsidRPr="005700C4">
        <w:rPr>
          <w:i/>
        </w:rPr>
        <w:t>MobilityControlInfo</w:t>
      </w:r>
      <w:proofErr w:type="spellEnd"/>
      <w:r>
        <w:t xml:space="preserve">. The procedure involves </w:t>
      </w:r>
      <w:r w:rsidR="001250A6">
        <w:t xml:space="preserve">random access on target PCell, </w:t>
      </w:r>
      <w:r>
        <w:t xml:space="preserve">re-establishment of PDCP and RLC entities and MAC entity reset. </w:t>
      </w:r>
      <w:r w:rsidR="001250A6">
        <w:t xml:space="preserve">In </w:t>
      </w:r>
      <w:r>
        <w:t>LTE Rel-14 WI on handover enhancements</w:t>
      </w:r>
      <w:r w:rsidR="001250A6">
        <w:t xml:space="preserve">, </w:t>
      </w:r>
      <w:r>
        <w:t>RACH-less handover</w:t>
      </w:r>
      <w:r w:rsidR="001250A6">
        <w:t xml:space="preserve"> is introduced</w:t>
      </w:r>
      <w:r>
        <w:t>.</w:t>
      </w:r>
    </w:p>
    <w:p w14:paraId="3CA642F2" w14:textId="6759647C" w:rsidR="001250A6" w:rsidRDefault="001250A6" w:rsidP="00727BD9">
      <w:r>
        <w:t xml:space="preserve">In </w:t>
      </w:r>
      <w:r w:rsidR="00353E04">
        <w:t>RAN2#99bis</w:t>
      </w:r>
      <w:r>
        <w:t xml:space="preserve"> meeting, there is an agreement on RACH-less HO as below.</w:t>
      </w:r>
    </w:p>
    <w:p w14:paraId="7A4EDB84" w14:textId="77777777" w:rsidR="001250A6" w:rsidRDefault="001250A6" w:rsidP="001250A6">
      <w:pPr>
        <w:pStyle w:val="Doc-text2"/>
        <w:pBdr>
          <w:top w:val="single" w:sz="4" w:space="1" w:color="auto"/>
          <w:left w:val="single" w:sz="4" w:space="4" w:color="auto"/>
          <w:bottom w:val="single" w:sz="4" w:space="1" w:color="auto"/>
          <w:right w:val="single" w:sz="4" w:space="4" w:color="auto"/>
        </w:pBdr>
      </w:pPr>
      <w:r>
        <w:t>2: In EN-DC, the RACH-less access to t-SN is not supported in SN Change procedure at least in R15.</w:t>
      </w:r>
    </w:p>
    <w:p w14:paraId="19E40918" w14:textId="7C8DD9CB" w:rsidR="00112F08" w:rsidRDefault="001250A6" w:rsidP="00112F08">
      <w:r>
        <w:t xml:space="preserve">This agreement excludes RACH-less access to t-SN during SN change procedure. </w:t>
      </w:r>
      <w:r w:rsidR="00426903">
        <w:t xml:space="preserve">In this paper, we  discuss the necessity </w:t>
      </w:r>
      <w:r w:rsidR="00B80D0D">
        <w:t xml:space="preserve">to </w:t>
      </w:r>
      <w:r>
        <w:t xml:space="preserve">support RACH-less </w:t>
      </w:r>
      <w:r w:rsidR="00224161">
        <w:t>HO</w:t>
      </w:r>
      <w:r w:rsidR="00426903">
        <w:t xml:space="preserve"> procedure</w:t>
      </w:r>
      <w:bookmarkStart w:id="0" w:name="_GoBack"/>
      <w:bookmarkEnd w:id="0"/>
      <w:r w:rsidR="00426903">
        <w:t xml:space="preserve"> </w:t>
      </w:r>
      <w:r w:rsidR="00727BD9">
        <w:t xml:space="preserve">for </w:t>
      </w:r>
      <w:r>
        <w:t>different scenario, e.g.</w:t>
      </w:r>
      <w:r w:rsidR="00727BD9">
        <w:t xml:space="preserve"> </w:t>
      </w:r>
      <w:r>
        <w:t>when</w:t>
      </w:r>
      <w:r w:rsidR="00727BD9">
        <w:t xml:space="preserve"> UE is </w:t>
      </w:r>
      <w:r w:rsidR="00224161">
        <w:t>working</w:t>
      </w:r>
      <w:r w:rsidR="00727BD9">
        <w:t xml:space="preserve"> with CA</w:t>
      </w:r>
      <w:r w:rsidR="00224161">
        <w:t xml:space="preserve"> (Carrier Aggregation)</w:t>
      </w:r>
      <w:r>
        <w:t xml:space="preserve"> and PCell is to be changed to an existing SCell</w:t>
      </w:r>
      <w:r w:rsidR="00727BD9">
        <w:t xml:space="preserve"> </w:t>
      </w:r>
      <w:r w:rsidR="00224161">
        <w:t>or when UE is in DC (Dual Connectivity)</w:t>
      </w:r>
      <w:r>
        <w:t xml:space="preserve"> and MeNB is to be changed to SgNB</w:t>
      </w:r>
      <w:r w:rsidR="00426903">
        <w:t>.</w:t>
      </w:r>
      <w:r w:rsidR="00E0117C">
        <w:t xml:space="preserve"> </w:t>
      </w:r>
    </w:p>
    <w:p w14:paraId="5C3D9191" w14:textId="77777777" w:rsidR="001643A8" w:rsidRDefault="004000E8" w:rsidP="00CE0424">
      <w:pPr>
        <w:pStyle w:val="Heading1"/>
      </w:pPr>
      <w:bookmarkStart w:id="1" w:name="_Ref178064866"/>
      <w:r w:rsidRPr="00CE0424">
        <w:t>Discussion</w:t>
      </w:r>
      <w:bookmarkEnd w:id="1"/>
    </w:p>
    <w:p w14:paraId="41065C31" w14:textId="56CF6632" w:rsidR="004B45F9" w:rsidRDefault="004B45F9" w:rsidP="004B45F9">
      <w:r>
        <w:t>The reason to propose new handover procedure for NR as discussed in RAN2</w:t>
      </w:r>
      <w:r w:rsidR="00B80D0D">
        <w:t>#96, 97bis</w:t>
      </w:r>
      <w: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rPr>
        <w:lastRenderedPageBreak/>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10FE115A"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w:t>
      </w:r>
      <w:r w:rsidR="00224161">
        <w:t xml:space="preserve">or changes its </w:t>
      </w:r>
      <w:proofErr w:type="spellStart"/>
      <w:r w:rsidR="00224161">
        <w:t>MgNB</w:t>
      </w:r>
      <w:proofErr w:type="spellEnd"/>
      <w:r w:rsidR="00224161">
        <w:t xml:space="preserve"> when it is in DC</w:t>
      </w:r>
      <w:r>
        <w:t>.</w:t>
      </w:r>
    </w:p>
    <w:p w14:paraId="420CEC60" w14:textId="2F45B1D9" w:rsidR="00EA7221" w:rsidRDefault="00745C1D" w:rsidP="005233D0">
      <w:pPr>
        <w:pStyle w:val="BodyText"/>
      </w:pPr>
      <w:r>
        <w:t>According to LTE specification,</w:t>
      </w:r>
      <w:r w:rsidR="008E716F">
        <w:t xml:space="preserve"> </w:t>
      </w:r>
      <w:r w:rsidR="009C7DDE">
        <w:t>i</w:t>
      </w:r>
      <w:r w:rsidR="00B50795">
        <w:t xml:space="preserve">f </w:t>
      </w:r>
      <w:r w:rsidR="007C7762">
        <w:t xml:space="preserve">the </w:t>
      </w:r>
      <w:r w:rsidR="00B50795">
        <w:t>PC</w:t>
      </w:r>
      <w:r w:rsidR="00A41A4E">
        <w:t>ell</w:t>
      </w:r>
      <w:r w:rsidR="00B50795">
        <w:t xml:space="preserve"> need</w:t>
      </w:r>
      <w:r w:rsidR="006031B7">
        <w:t>s to</w:t>
      </w:r>
      <w:r w:rsidR="00B50795">
        <w:t xml:space="preserve"> be changed, </w:t>
      </w:r>
      <w:r w:rsidR="006031B7">
        <w:t xml:space="preserve">a </w:t>
      </w:r>
      <w:r w:rsidR="00B50795">
        <w:t>handover procedure is needed</w:t>
      </w:r>
      <w:r>
        <w:t>. The baseline HO procedure in LTE includes the following</w:t>
      </w:r>
      <w:r w:rsidR="007C7762">
        <w:t>:</w:t>
      </w:r>
      <w:r>
        <w:t xml:space="preserve"> 1) </w:t>
      </w:r>
      <w:r w:rsidR="009C7DDE">
        <w:t>security KEY change</w:t>
      </w:r>
      <w:r w:rsidR="00732901">
        <w:t>,</w:t>
      </w:r>
      <w:r>
        <w:t xml:space="preserve"> 2)</w:t>
      </w:r>
      <w:r w:rsidR="009C7DDE">
        <w:t xml:space="preserve"> </w:t>
      </w:r>
      <w:r w:rsidR="00411A81">
        <w:t>MAC reset, RLC and PDCP re-establishment</w:t>
      </w:r>
      <w:r w:rsidR="00B80D0D">
        <w:t>,</w:t>
      </w:r>
      <w:r w:rsidR="00732901">
        <w:t xml:space="preserve"> </w:t>
      </w:r>
      <w:r>
        <w:t>3)</w:t>
      </w:r>
      <w:r w:rsidR="00B80D0D">
        <w:t xml:space="preserve"> </w:t>
      </w:r>
      <w:r w:rsidR="00411A81">
        <w:t xml:space="preserve">random access procedure to establish synchronization with </w:t>
      </w:r>
      <w:r w:rsidR="007C7762">
        <w:t xml:space="preserve">the </w:t>
      </w:r>
      <w:r w:rsidR="00411A81">
        <w:t>new PCell</w:t>
      </w:r>
      <w:r w:rsidR="00B50795">
        <w:t>.</w:t>
      </w:r>
    </w:p>
    <w:p w14:paraId="5690A192" w14:textId="1FC494AC" w:rsidR="00B80D0D" w:rsidRDefault="00B80D0D" w:rsidP="005233D0">
      <w:pPr>
        <w:pStyle w:val="BodyText"/>
      </w:pPr>
      <w:r>
        <w:t>Even with the new procedure as just agreed for NR</w:t>
      </w:r>
      <w:r w:rsidR="007C7762">
        <w:t xml:space="preserve"> (i.e. </w:t>
      </w:r>
      <w:r>
        <w:t>no KEY change</w:t>
      </w:r>
      <w:r w:rsidR="007C7762">
        <w:t>)</w:t>
      </w:r>
      <w:r>
        <w:t xml:space="preserve">, </w:t>
      </w:r>
      <w:r w:rsidR="00D43D3C">
        <w:t>the procedure still includes</w:t>
      </w:r>
      <w:r>
        <w:t xml:space="preserve"> </w:t>
      </w:r>
      <w:r w:rsidR="00745C1D">
        <w:t xml:space="preserve">1) </w:t>
      </w:r>
      <w:r w:rsidR="00411A81">
        <w:t>MAC reset and RLC re-establishment</w:t>
      </w:r>
      <w:r w:rsidR="00745C1D">
        <w:t xml:space="preserve">, 2) </w:t>
      </w:r>
      <w:r w:rsidR="00411A81">
        <w:t xml:space="preserve">random access procedure to </w:t>
      </w:r>
      <w:r w:rsidR="007C7762">
        <w:t xml:space="preserve">the </w:t>
      </w:r>
      <w:r w:rsidR="00411A81">
        <w:t>new PCell to establish synchronization</w:t>
      </w:r>
      <w:r>
        <w:t xml:space="preserve">.  </w:t>
      </w:r>
    </w:p>
    <w:p w14:paraId="04D505E8" w14:textId="37FD1CA0" w:rsidR="003F7B8C" w:rsidRDefault="00B91D20" w:rsidP="009652AF">
      <w:pPr>
        <w:pStyle w:val="BodyText"/>
      </w:pPr>
      <w:r>
        <w:t>Actually</w:t>
      </w:r>
      <w:r w:rsidR="007C7762">
        <w:t>,</w:t>
      </w:r>
      <w:r>
        <w:t xml:space="preserve">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7C7762">
        <w:t xml:space="preserve">three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457D35B6" w14:textId="1E5479CA" w:rsidR="00224161" w:rsidRDefault="00873E4C" w:rsidP="003F7B8C">
      <w:pPr>
        <w:pStyle w:val="BodyText"/>
      </w:pPr>
      <w:r>
        <w:t>For cas</w:t>
      </w:r>
      <w:r w:rsidR="00A41A4E">
        <w:t>e 1</w:t>
      </w:r>
      <w:r w:rsidR="007C7762">
        <w:t>,</w:t>
      </w:r>
      <w:r w:rsidR="00A41A4E">
        <w:t xml:space="preserve"> </w:t>
      </w:r>
      <w:r w:rsidR="00570E48">
        <w:t>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w:t>
      </w:r>
      <w:r w:rsidR="007C7762">
        <w:t>d</w:t>
      </w:r>
      <w:r w:rsidR="00A86555">
        <w:t xml:space="preserve"> as SCell</w:t>
      </w:r>
      <w:r w:rsidR="00570E48">
        <w:t xml:space="preserve">. </w:t>
      </w:r>
      <w:r w:rsidR="00224161">
        <w:t xml:space="preserve">Then RACH-less procedure similar </w:t>
      </w:r>
      <w:r w:rsidR="007C7762">
        <w:t xml:space="preserve">to the one </w:t>
      </w:r>
      <w:r w:rsidR="00224161">
        <w:t xml:space="preserve">proposed in LTE R14 can </w:t>
      </w:r>
      <w:r w:rsidR="007C7762">
        <w:t xml:space="preserve">also </w:t>
      </w:r>
      <w:r w:rsidR="00224161">
        <w:t>be applied here.</w:t>
      </w:r>
    </w:p>
    <w:p w14:paraId="613AE957" w14:textId="23DECFB3" w:rsidR="00745C1D" w:rsidRDefault="00732901" w:rsidP="003F7B8C">
      <w:pPr>
        <w:pStyle w:val="BodyText"/>
      </w:pPr>
      <w:r>
        <w:t xml:space="preserve">So the optimized HO procedure when </w:t>
      </w:r>
      <w:r w:rsidR="007C7762">
        <w:t xml:space="preserve">an existing SCell is changed to a </w:t>
      </w:r>
      <w:r>
        <w:t>PCell could be either 1) security KEY change, 2) MAC reset, RLC and PDCP re-establishment; or 1) MAC reset, RLC re-establishment</w:t>
      </w:r>
    </w:p>
    <w:p w14:paraId="2155ECDB" w14:textId="06DA34DC" w:rsidR="002B6265" w:rsidRDefault="002B6265" w:rsidP="002B6265">
      <w:pPr>
        <w:pStyle w:val="BodyText"/>
      </w:pPr>
      <w:r>
        <w:t>Therefore</w:t>
      </w:r>
      <w:r w:rsidR="007C7762">
        <w:t xml:space="preserve">, </w:t>
      </w:r>
      <w:r>
        <w:t xml:space="preserve">we propose </w:t>
      </w:r>
    </w:p>
    <w:p w14:paraId="786C465A" w14:textId="72DADDD3" w:rsidR="002B6265" w:rsidRDefault="002B6265" w:rsidP="002B6265">
      <w:pPr>
        <w:pStyle w:val="Proposal"/>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bookmarkStart w:id="10" w:name="_Toc485404407"/>
      <w:r>
        <w:t xml:space="preserve">For PCell change procedure in NR, if </w:t>
      </w:r>
      <w:r w:rsidR="00D1351B">
        <w:t>an existing SCell is change</w:t>
      </w:r>
      <w:r w:rsidR="007C7762">
        <w:t>d</w:t>
      </w:r>
      <w:r w:rsidR="00D1351B">
        <w:t xml:space="preserve"> to </w:t>
      </w:r>
      <w:r w:rsidR="007C7762">
        <w:t xml:space="preserve">a </w:t>
      </w:r>
      <w:r>
        <w:t>PCell, RACH-less HO procedure can be applied together with</w:t>
      </w:r>
      <w:r w:rsidR="00732901">
        <w:t>/without</w:t>
      </w:r>
      <w:r>
        <w:t xml:space="preserve"> KEY change and PDCP re-establishment.</w:t>
      </w:r>
      <w:bookmarkEnd w:id="2"/>
      <w:r>
        <w:t xml:space="preserve"> </w:t>
      </w:r>
      <w:bookmarkEnd w:id="3"/>
      <w:bookmarkEnd w:id="4"/>
      <w:bookmarkEnd w:id="5"/>
      <w:bookmarkEnd w:id="6"/>
      <w:bookmarkEnd w:id="7"/>
      <w:bookmarkEnd w:id="8"/>
      <w:bookmarkEnd w:id="9"/>
      <w:bookmarkEnd w:id="10"/>
    </w:p>
    <w:p w14:paraId="2F575FE4" w14:textId="05FEE7C7" w:rsidR="002B6265" w:rsidRDefault="00224161" w:rsidP="003F7B8C">
      <w:pPr>
        <w:pStyle w:val="BodyText"/>
      </w:pPr>
      <w:r>
        <w:t xml:space="preserve">Similarly, in NR DC, </w:t>
      </w:r>
      <w:r w:rsidR="007C7762">
        <w:t xml:space="preserve">the </w:t>
      </w:r>
      <w:r>
        <w:t xml:space="preserve">UE connects with two network nodes, </w:t>
      </w:r>
      <w:proofErr w:type="spellStart"/>
      <w:r>
        <w:t>MgNB</w:t>
      </w:r>
      <w:proofErr w:type="spellEnd"/>
      <w:r>
        <w:t xml:space="preserve"> (Master </w:t>
      </w:r>
      <w:proofErr w:type="spellStart"/>
      <w:r>
        <w:t>gNB</w:t>
      </w:r>
      <w:proofErr w:type="spellEnd"/>
      <w:r>
        <w:t xml:space="preserve">) and SgNB (Secondary </w:t>
      </w:r>
      <w:proofErr w:type="spellStart"/>
      <w:r>
        <w:t>gNB</w:t>
      </w:r>
      <w:proofErr w:type="spellEnd"/>
      <w:r>
        <w:t xml:space="preserve">), </w:t>
      </w:r>
      <w:proofErr w:type="spellStart"/>
      <w:r w:rsidR="002B6265">
        <w:t>MgNB</w:t>
      </w:r>
      <w:proofErr w:type="spellEnd"/>
      <w:r w:rsidR="002B6265">
        <w:t xml:space="preserve"> is the control plane anchor for </w:t>
      </w:r>
      <w:r w:rsidR="007C7762">
        <w:t xml:space="preserve">the </w:t>
      </w:r>
      <w:r w:rsidR="002B6265">
        <w:t xml:space="preserve">UE, that is, the control plane termination point with </w:t>
      </w:r>
      <w:proofErr w:type="spellStart"/>
      <w:r w:rsidR="002B6265">
        <w:t>NextGenCore</w:t>
      </w:r>
      <w:proofErr w:type="spellEnd"/>
      <w:r w:rsidR="002B6265">
        <w:t xml:space="preserve"> (Next Generation Core) is at </w:t>
      </w:r>
      <w:r w:rsidR="007C7762">
        <w:t xml:space="preserve">the </w:t>
      </w:r>
      <w:proofErr w:type="spellStart"/>
      <w:r w:rsidR="002B6265">
        <w:t>MgNB</w:t>
      </w:r>
      <w:proofErr w:type="spellEnd"/>
      <w:r w:rsidR="002B6265">
        <w:t xml:space="preserve">. When </w:t>
      </w:r>
      <w:proofErr w:type="spellStart"/>
      <w:r w:rsidR="002B6265">
        <w:t>MgNB</w:t>
      </w:r>
      <w:proofErr w:type="spellEnd"/>
      <w:r w:rsidR="002B6265">
        <w:t xml:space="preserve"> need</w:t>
      </w:r>
      <w:r w:rsidR="007C7762">
        <w:t>s</w:t>
      </w:r>
      <w:r w:rsidR="002B6265">
        <w:t xml:space="preserve"> </w:t>
      </w:r>
      <w:r w:rsidR="00155BF0">
        <w:t xml:space="preserve">to </w:t>
      </w:r>
      <w:r w:rsidR="002B6265">
        <w:t>be changed,</w:t>
      </w:r>
      <w:r w:rsidR="007C7762">
        <w:t xml:space="preserve"> </w:t>
      </w:r>
      <w:r w:rsidR="002B6265">
        <w:t xml:space="preserve">a handover procedure is needed </w:t>
      </w:r>
      <w:r w:rsidR="007C7762">
        <w:t xml:space="preserve">as in LTE DC, </w:t>
      </w:r>
      <w:r w:rsidR="002B6265">
        <w:t xml:space="preserve">and during this period random access procedure is required to establish </w:t>
      </w:r>
      <w:r w:rsidR="002B6265">
        <w:lastRenderedPageBreak/>
        <w:t xml:space="preserve">synchronization with new </w:t>
      </w:r>
      <w:proofErr w:type="spellStart"/>
      <w:r w:rsidR="002B6265">
        <w:t>MgNB</w:t>
      </w:r>
      <w:proofErr w:type="spellEnd"/>
      <w:r w:rsidR="002B6265">
        <w:t xml:space="preserve">. </w:t>
      </w:r>
      <w:r w:rsidR="00732901">
        <w:t>The handover procedure includes</w:t>
      </w:r>
      <w:r w:rsidR="007C7762">
        <w:t>:</w:t>
      </w:r>
      <w:r w:rsidR="00732901">
        <w:t xml:space="preserve"> 1) Security KEY change, 2) </w:t>
      </w:r>
      <w:r w:rsidR="00D43D3C">
        <w:t xml:space="preserve">MAC reset, RLC and PDCP re-establishment, </w:t>
      </w:r>
      <w:r w:rsidR="007C7762">
        <w:t xml:space="preserve">and </w:t>
      </w:r>
      <w:r w:rsidR="00D43D3C">
        <w:t xml:space="preserve">3) random access procedure to establish synchronization with new </w:t>
      </w:r>
      <w:proofErr w:type="spellStart"/>
      <w:r w:rsidR="00D43D3C">
        <w:t>MgNB</w:t>
      </w:r>
      <w:proofErr w:type="spellEnd"/>
      <w:r w:rsidR="00D43D3C">
        <w:t>.</w:t>
      </w:r>
    </w:p>
    <w:p w14:paraId="068DA81E" w14:textId="58309F9A" w:rsidR="002B6265" w:rsidRDefault="002B6265" w:rsidP="003F7B8C">
      <w:pPr>
        <w:pStyle w:val="BodyText"/>
      </w:pPr>
      <w:r>
        <w:t xml:space="preserve">When </w:t>
      </w:r>
      <w:proofErr w:type="spellStart"/>
      <w:r>
        <w:t>MgNB</w:t>
      </w:r>
      <w:proofErr w:type="spellEnd"/>
      <w:r>
        <w:t xml:space="preserve"> need</w:t>
      </w:r>
      <w:r w:rsidR="007C7762">
        <w:t>s</w:t>
      </w:r>
      <w:r>
        <w:t xml:space="preserve"> </w:t>
      </w:r>
      <w:r w:rsidR="007C7762">
        <w:t xml:space="preserve">to </w:t>
      </w:r>
      <w:r>
        <w:t xml:space="preserve">be changed, there are different cases as listed below. </w:t>
      </w:r>
    </w:p>
    <w:p w14:paraId="24BAEAE5" w14:textId="5C159C1C" w:rsidR="002B6265" w:rsidRDefault="002B6265" w:rsidP="002B6265">
      <w:pPr>
        <w:pStyle w:val="BodyText"/>
        <w:ind w:left="567"/>
      </w:pPr>
      <w:r>
        <w:t>Case 1:</w:t>
      </w:r>
      <w:r>
        <w:tab/>
        <w:t xml:space="preserve">SgNB is the new </w:t>
      </w:r>
      <w:proofErr w:type="spellStart"/>
      <w:r>
        <w:t>MgNB</w:t>
      </w:r>
      <w:proofErr w:type="spellEnd"/>
    </w:p>
    <w:p w14:paraId="31D21FFE" w14:textId="34504C0B" w:rsidR="002B6265" w:rsidRDefault="002B6265" w:rsidP="002B6265">
      <w:pPr>
        <w:pStyle w:val="BodyText"/>
        <w:ind w:left="1692" w:hanging="1125"/>
      </w:pPr>
      <w:r>
        <w:t>Case 2:</w:t>
      </w:r>
      <w:r>
        <w:tab/>
        <w:t xml:space="preserve">A neighbor </w:t>
      </w:r>
      <w:proofErr w:type="spellStart"/>
      <w:r>
        <w:t>gNB</w:t>
      </w:r>
      <w:proofErr w:type="spellEnd"/>
      <w:r>
        <w:t xml:space="preserve"> becomes </w:t>
      </w:r>
      <w:r w:rsidR="007C7762">
        <w:t xml:space="preserve">the </w:t>
      </w:r>
      <w:r>
        <w:t xml:space="preserve">new </w:t>
      </w:r>
      <w:proofErr w:type="spellStart"/>
      <w:r>
        <w:t>MgNB</w:t>
      </w:r>
      <w:proofErr w:type="spellEnd"/>
      <w:r>
        <w:t xml:space="preserve">, but SgNB remain as SgNB for </w:t>
      </w:r>
      <w:r w:rsidR="007C7762">
        <w:t xml:space="preserve">the </w:t>
      </w:r>
      <w:r>
        <w:t xml:space="preserve">new </w:t>
      </w:r>
      <w:proofErr w:type="spellStart"/>
      <w:r>
        <w:t>MgNB</w:t>
      </w:r>
      <w:proofErr w:type="spellEnd"/>
      <w:r>
        <w:t xml:space="preserve">. </w:t>
      </w:r>
    </w:p>
    <w:p w14:paraId="65223414" w14:textId="26BB2BE9" w:rsidR="002B6265" w:rsidRDefault="002B6265" w:rsidP="002B6265">
      <w:pPr>
        <w:pStyle w:val="BodyText"/>
        <w:ind w:left="1692" w:hanging="1125"/>
      </w:pPr>
      <w:r>
        <w:t>Case 3:</w:t>
      </w:r>
      <w:r>
        <w:tab/>
        <w:t xml:space="preserve">A </w:t>
      </w:r>
      <w:proofErr w:type="spellStart"/>
      <w:r>
        <w:t>neighbour</w:t>
      </w:r>
      <w:proofErr w:type="spellEnd"/>
      <w:r>
        <w:t xml:space="preserve"> </w:t>
      </w:r>
      <w:proofErr w:type="spellStart"/>
      <w:r>
        <w:t>gNB</w:t>
      </w:r>
      <w:proofErr w:type="spellEnd"/>
      <w:r>
        <w:t xml:space="preserve"> become </w:t>
      </w:r>
      <w:r w:rsidR="007C7762">
        <w:t xml:space="preserve">the </w:t>
      </w:r>
      <w:r>
        <w:t xml:space="preserve">new </w:t>
      </w:r>
      <w:proofErr w:type="spellStart"/>
      <w:r>
        <w:t>MgNB</w:t>
      </w:r>
      <w:proofErr w:type="spellEnd"/>
      <w:r>
        <w:t xml:space="preserve">, </w:t>
      </w:r>
      <w:r w:rsidR="007C7762">
        <w:t xml:space="preserve">and </w:t>
      </w:r>
      <w:r>
        <w:t>old SgNB is removed.</w:t>
      </w:r>
    </w:p>
    <w:p w14:paraId="7B39087E" w14:textId="5CCB5286" w:rsidR="002C1C24" w:rsidRDefault="002B6265" w:rsidP="003F7B8C">
      <w:pPr>
        <w:pStyle w:val="BodyText"/>
      </w:pPr>
      <w:r>
        <w:t xml:space="preserve">For case 1, random access procedure may not be needed as UE has already obtained time and frequency synchronization with </w:t>
      </w:r>
      <w:r w:rsidR="00333BA4">
        <w:t xml:space="preserve">the </w:t>
      </w:r>
      <w:r>
        <w:t xml:space="preserve">new </w:t>
      </w:r>
      <w:proofErr w:type="spellStart"/>
      <w:r>
        <w:t>MgNB</w:t>
      </w:r>
      <w:proofErr w:type="spellEnd"/>
      <w:r>
        <w:t xml:space="preserve">, i.e. old SgNB. </w:t>
      </w:r>
      <w:r w:rsidR="002C1C24">
        <w:t xml:space="preserve">RACH-less procedure similar </w:t>
      </w:r>
      <w:r w:rsidR="00333BA4">
        <w:t>to the one</w:t>
      </w:r>
      <w:r w:rsidR="002C1C24">
        <w:t xml:space="preserve"> proposed in LTE R14 c</w:t>
      </w:r>
      <w:r w:rsidR="00333BA4">
        <w:t>an also</w:t>
      </w:r>
      <w:r w:rsidR="002C1C24">
        <w:t xml:space="preserve"> be applied here. </w:t>
      </w:r>
    </w:p>
    <w:p w14:paraId="277FCA68" w14:textId="6A285F34" w:rsidR="00D43D3C" w:rsidRDefault="00D43D3C" w:rsidP="00D43D3C">
      <w:pPr>
        <w:pStyle w:val="BodyText"/>
      </w:pPr>
      <w:r>
        <w:t xml:space="preserve">So the optimized HO procedure when SgNB is changed to </w:t>
      </w:r>
      <w:proofErr w:type="spellStart"/>
      <w:r>
        <w:t>MgNB</w:t>
      </w:r>
      <w:proofErr w:type="spellEnd"/>
      <w:r>
        <w:t xml:space="preserve"> could be 1) security KEY change, 2) MAC reset, RLC and PDCP re-establishment; </w:t>
      </w:r>
    </w:p>
    <w:p w14:paraId="175143B2" w14:textId="3972AB9F" w:rsidR="002C1C24" w:rsidRDefault="002C1C24" w:rsidP="003F7B8C">
      <w:pPr>
        <w:pStyle w:val="BodyText"/>
      </w:pPr>
      <w:r>
        <w:t>Therefore</w:t>
      </w:r>
      <w:r w:rsidR="00333BA4">
        <w:t>,</w:t>
      </w:r>
      <w:r>
        <w:t xml:space="preserve"> we propose</w:t>
      </w:r>
    </w:p>
    <w:p w14:paraId="7B343E87" w14:textId="61673566" w:rsidR="002C1C24" w:rsidRDefault="002C1C24" w:rsidP="003F7B8C">
      <w:pPr>
        <w:pStyle w:val="Proposal"/>
      </w:pPr>
      <w:bookmarkStart w:id="11" w:name="_Toc485404408"/>
      <w:r>
        <w:t xml:space="preserve">For </w:t>
      </w:r>
      <w:proofErr w:type="spellStart"/>
      <w:r>
        <w:t>M</w:t>
      </w:r>
      <w:r w:rsidR="00BA2799">
        <w:t>gNB</w:t>
      </w:r>
      <w:proofErr w:type="spellEnd"/>
      <w:r>
        <w:t xml:space="preserve"> change procedure in NR</w:t>
      </w:r>
      <w:r w:rsidR="00BA2799">
        <w:t xml:space="preserve"> DC</w:t>
      </w:r>
      <w:r w:rsidR="00786E47">
        <w:t>,</w:t>
      </w:r>
      <w:r>
        <w:t xml:space="preserve"> if </w:t>
      </w:r>
      <w:r w:rsidR="00D1351B">
        <w:t>exi</w:t>
      </w:r>
      <w:r w:rsidR="00786E47">
        <w:t>s</w:t>
      </w:r>
      <w:r w:rsidR="00D1351B">
        <w:t xml:space="preserve">ting </w:t>
      </w:r>
      <w:proofErr w:type="spellStart"/>
      <w:r w:rsidR="00D1351B">
        <w:t>sgNB</w:t>
      </w:r>
      <w:proofErr w:type="spellEnd"/>
      <w:r w:rsidR="00D1351B">
        <w:t xml:space="preserve"> is changed </w:t>
      </w:r>
      <w:r w:rsidR="00786E47">
        <w:t xml:space="preserve">to </w:t>
      </w:r>
      <w:proofErr w:type="spellStart"/>
      <w:r w:rsidR="00BA2799">
        <w:t>M</w:t>
      </w:r>
      <w:r w:rsidR="00786E47">
        <w:t>g</w:t>
      </w:r>
      <w:r w:rsidR="00BA2799">
        <w:t>NB</w:t>
      </w:r>
      <w:proofErr w:type="spellEnd"/>
      <w:r>
        <w:t xml:space="preserve">, RACH-less HO procedure can be applied. </w:t>
      </w:r>
      <w:bookmarkEnd w:id="11"/>
    </w:p>
    <w:p w14:paraId="4413A733" w14:textId="77777777" w:rsidR="00C01F33" w:rsidRDefault="00C01F33" w:rsidP="00CE0424">
      <w:pPr>
        <w:pStyle w:val="Heading1"/>
      </w:pPr>
      <w:r w:rsidRPr="00CE0424">
        <w:t>Conclusion</w:t>
      </w:r>
    </w:p>
    <w:p w14:paraId="3C097730" w14:textId="36728574" w:rsidR="00F95074" w:rsidRDefault="00E9561F" w:rsidP="00B2782B">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00333BA4">
        <w:t xml:space="preserve">, </w:t>
      </w:r>
      <w:r w:rsidRPr="00CE0424">
        <w:t xml:space="preserve"> we propos</w:t>
      </w:r>
      <w:r w:rsidR="00A86555">
        <w:t>e</w:t>
      </w:r>
      <w:r w:rsidRPr="00CE0424">
        <w:t xml:space="preserve"> the following:</w:t>
      </w:r>
    </w:p>
    <w:p w14:paraId="67709286" w14:textId="77777777" w:rsidR="00333BA4" w:rsidRDefault="00333BA4">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5404407" w:history="1">
        <w:r w:rsidRPr="00A305A3">
          <w:rPr>
            <w:rStyle w:val="Hyperlink"/>
          </w:rPr>
          <w:t>Proposal 1</w:t>
        </w:r>
        <w:r>
          <w:rPr>
            <w:rFonts w:asciiTheme="minorHAnsi" w:eastAsiaTheme="minorEastAsia" w:hAnsiTheme="minorHAnsi" w:cstheme="minorBidi"/>
            <w:b w:val="0"/>
            <w:sz w:val="22"/>
            <w:lang w:eastAsia="en-US"/>
          </w:rPr>
          <w:tab/>
        </w:r>
        <w:r w:rsidRPr="00A305A3">
          <w:rPr>
            <w:rStyle w:val="Hyperlink"/>
          </w:rPr>
          <w:t xml:space="preserve">For PCell change procedure in NR, if an existing SCell is changed to a PCell, RACH-less HO procedure can be applied together with/without KEY change and PDCP re-establishment. </w:t>
        </w:r>
      </w:hyperlink>
    </w:p>
    <w:p w14:paraId="64B1FBD0" w14:textId="77777777" w:rsidR="00333BA4" w:rsidRDefault="00F011A3">
      <w:pPr>
        <w:pStyle w:val="TOC1"/>
        <w:rPr>
          <w:rFonts w:asciiTheme="minorHAnsi" w:eastAsiaTheme="minorEastAsia" w:hAnsiTheme="minorHAnsi" w:cstheme="minorBidi"/>
          <w:b w:val="0"/>
          <w:sz w:val="22"/>
          <w:lang w:eastAsia="en-US"/>
        </w:rPr>
      </w:pPr>
      <w:hyperlink w:anchor="_Toc485404408" w:history="1">
        <w:r w:rsidR="00333BA4" w:rsidRPr="00A305A3">
          <w:rPr>
            <w:rStyle w:val="Hyperlink"/>
          </w:rPr>
          <w:t>Proposal 2</w:t>
        </w:r>
        <w:r w:rsidR="00333BA4">
          <w:rPr>
            <w:rFonts w:asciiTheme="minorHAnsi" w:eastAsiaTheme="minorEastAsia" w:hAnsiTheme="minorHAnsi" w:cstheme="minorBidi"/>
            <w:b w:val="0"/>
            <w:sz w:val="22"/>
            <w:lang w:eastAsia="en-US"/>
          </w:rPr>
          <w:tab/>
        </w:r>
        <w:r w:rsidR="00333BA4" w:rsidRPr="00A305A3">
          <w:rPr>
            <w:rStyle w:val="Hyperlink"/>
          </w:rPr>
          <w:t xml:space="preserve">For MgNB change procedure in NR DC, if existing sgNB is changed to MgNB, RACH-less HO procedure can be applied. </w:t>
        </w:r>
      </w:hyperlink>
    </w:p>
    <w:p w14:paraId="3DBB370E" w14:textId="1844E877" w:rsidR="00BA2799" w:rsidRDefault="00333BA4" w:rsidP="00BA2799">
      <w:pPr>
        <w:pStyle w:val="Proposal"/>
        <w:numPr>
          <w:ilvl w:val="0"/>
          <w:numId w:val="0"/>
        </w:numPr>
      </w:pPr>
      <w:r>
        <w:fldChar w:fldCharType="end"/>
      </w:r>
    </w:p>
    <w:p w14:paraId="4A22D2B6" w14:textId="710D26AE" w:rsidR="008041C2" w:rsidRPr="00F95074" w:rsidRDefault="008041C2" w:rsidP="00BA2799">
      <w:pPr>
        <w:pStyle w:val="TOC1"/>
      </w:pPr>
      <w:bookmarkStart w:id="12" w:name="_Toc450908196"/>
      <w:bookmarkStart w:id="13" w:name="_In-sequence_SDU_delivery"/>
      <w:bookmarkEnd w:id="12"/>
      <w:bookmarkEnd w:id="13"/>
    </w:p>
    <w:sectPr w:rsidR="008041C2" w:rsidRPr="00F9507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CAD00" w14:textId="77777777" w:rsidR="00F011A3" w:rsidRDefault="00F011A3">
      <w:r>
        <w:separator/>
      </w:r>
    </w:p>
  </w:endnote>
  <w:endnote w:type="continuationSeparator" w:id="0">
    <w:p w14:paraId="5822039C" w14:textId="77777777" w:rsidR="00F011A3" w:rsidRDefault="00F011A3">
      <w:r>
        <w:continuationSeparator/>
      </w:r>
    </w:p>
  </w:endnote>
  <w:endnote w:type="continuationNotice" w:id="1">
    <w:p w14:paraId="6709DB25" w14:textId="77777777" w:rsidR="00F011A3" w:rsidRDefault="00F01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E4467" w14:textId="786C2D29" w:rsidR="00C3738C" w:rsidRDefault="00C3738C"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BBE38" w14:textId="77777777" w:rsidR="00F011A3" w:rsidRDefault="00F011A3">
      <w:r>
        <w:separator/>
      </w:r>
    </w:p>
  </w:footnote>
  <w:footnote w:type="continuationSeparator" w:id="0">
    <w:p w14:paraId="6F7A7AF6" w14:textId="77777777" w:rsidR="00F011A3" w:rsidRDefault="00F011A3">
      <w:r>
        <w:continuationSeparator/>
      </w:r>
    </w:p>
  </w:footnote>
  <w:footnote w:type="continuationNotice" w:id="1">
    <w:p w14:paraId="59476872" w14:textId="77777777" w:rsidR="00F011A3" w:rsidRDefault="00F01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16BAA"/>
    <w:multiLevelType w:val="hybridMultilevel"/>
    <w:tmpl w:val="108C27A8"/>
    <w:lvl w:ilvl="0" w:tplc="221296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4D035A"/>
    <w:multiLevelType w:val="hybridMultilevel"/>
    <w:tmpl w:val="99165C60"/>
    <w:lvl w:ilvl="0" w:tplc="B79EB5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lvlOverride w:ilvl="0">
      <w:startOverride w:val="1"/>
    </w:lvlOverride>
  </w:num>
  <w:num w:numId="15">
    <w:abstractNumId w:val="13"/>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7"/>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44FF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1531"/>
    <w:rsid w:val="000D4797"/>
    <w:rsid w:val="000E0527"/>
    <w:rsid w:val="000E1E92"/>
    <w:rsid w:val="000E7BF7"/>
    <w:rsid w:val="000F06D6"/>
    <w:rsid w:val="000F0EB1"/>
    <w:rsid w:val="000F1106"/>
    <w:rsid w:val="000F320E"/>
    <w:rsid w:val="000F3BE9"/>
    <w:rsid w:val="000F3F6C"/>
    <w:rsid w:val="000F5EEB"/>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0A6"/>
    <w:rsid w:val="00125221"/>
    <w:rsid w:val="00126B4A"/>
    <w:rsid w:val="00132FD0"/>
    <w:rsid w:val="001344C0"/>
    <w:rsid w:val="00134552"/>
    <w:rsid w:val="001346FA"/>
    <w:rsid w:val="00135252"/>
    <w:rsid w:val="00137AB5"/>
    <w:rsid w:val="00137F0B"/>
    <w:rsid w:val="00151E23"/>
    <w:rsid w:val="001526E0"/>
    <w:rsid w:val="001551B5"/>
    <w:rsid w:val="00155BF0"/>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4161"/>
    <w:rsid w:val="002252C3"/>
    <w:rsid w:val="00225C54"/>
    <w:rsid w:val="00230765"/>
    <w:rsid w:val="002319E4"/>
    <w:rsid w:val="00235632"/>
    <w:rsid w:val="00235872"/>
    <w:rsid w:val="00241559"/>
    <w:rsid w:val="0024275B"/>
    <w:rsid w:val="002435B3"/>
    <w:rsid w:val="002446D6"/>
    <w:rsid w:val="002458EB"/>
    <w:rsid w:val="00247A7E"/>
    <w:rsid w:val="00247B4B"/>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A51CE"/>
    <w:rsid w:val="002B24D6"/>
    <w:rsid w:val="002B6265"/>
    <w:rsid w:val="002C1C24"/>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3BA4"/>
    <w:rsid w:val="00334579"/>
    <w:rsid w:val="00335858"/>
    <w:rsid w:val="00336BDA"/>
    <w:rsid w:val="00342BD7"/>
    <w:rsid w:val="00343A07"/>
    <w:rsid w:val="00346DB5"/>
    <w:rsid w:val="003477B1"/>
    <w:rsid w:val="00353E04"/>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4514"/>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1A81"/>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3489"/>
    <w:rsid w:val="00465F3A"/>
    <w:rsid w:val="004669E2"/>
    <w:rsid w:val="00470C31"/>
    <w:rsid w:val="004734D0"/>
    <w:rsid w:val="0047556B"/>
    <w:rsid w:val="00477768"/>
    <w:rsid w:val="00484514"/>
    <w:rsid w:val="00492B32"/>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358F"/>
    <w:rsid w:val="005153A7"/>
    <w:rsid w:val="005219CF"/>
    <w:rsid w:val="005233D0"/>
    <w:rsid w:val="00534B59"/>
    <w:rsid w:val="00536759"/>
    <w:rsid w:val="00537C62"/>
    <w:rsid w:val="00546970"/>
    <w:rsid w:val="00554E19"/>
    <w:rsid w:val="0056121F"/>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C5"/>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033E"/>
    <w:rsid w:val="0070346E"/>
    <w:rsid w:val="00703ABC"/>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2901"/>
    <w:rsid w:val="007348B1"/>
    <w:rsid w:val="00734B23"/>
    <w:rsid w:val="007362A6"/>
    <w:rsid w:val="00736B85"/>
    <w:rsid w:val="00736D7D"/>
    <w:rsid w:val="0074070A"/>
    <w:rsid w:val="00740E58"/>
    <w:rsid w:val="00741206"/>
    <w:rsid w:val="007445A0"/>
    <w:rsid w:val="0074524B"/>
    <w:rsid w:val="00745C1D"/>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86E47"/>
    <w:rsid w:val="007925EA"/>
    <w:rsid w:val="00793CD8"/>
    <w:rsid w:val="00795C92"/>
    <w:rsid w:val="00796231"/>
    <w:rsid w:val="007A1CB3"/>
    <w:rsid w:val="007A306F"/>
    <w:rsid w:val="007A3A3F"/>
    <w:rsid w:val="007A40FD"/>
    <w:rsid w:val="007A43A6"/>
    <w:rsid w:val="007A58A6"/>
    <w:rsid w:val="007A7E25"/>
    <w:rsid w:val="007B0C34"/>
    <w:rsid w:val="007B3D2D"/>
    <w:rsid w:val="007B50AE"/>
    <w:rsid w:val="007B51DF"/>
    <w:rsid w:val="007C05DD"/>
    <w:rsid w:val="007C25B7"/>
    <w:rsid w:val="007C3D18"/>
    <w:rsid w:val="007C60BF"/>
    <w:rsid w:val="007C6A07"/>
    <w:rsid w:val="007C75A1"/>
    <w:rsid w:val="007C7762"/>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3825"/>
    <w:rsid w:val="00824AB4"/>
    <w:rsid w:val="00825C42"/>
    <w:rsid w:val="00825D25"/>
    <w:rsid w:val="00827D6F"/>
    <w:rsid w:val="008376AC"/>
    <w:rsid w:val="008444E8"/>
    <w:rsid w:val="00844E80"/>
    <w:rsid w:val="00846FE7"/>
    <w:rsid w:val="00850CEC"/>
    <w:rsid w:val="0085613D"/>
    <w:rsid w:val="00856911"/>
    <w:rsid w:val="00856AAA"/>
    <w:rsid w:val="008666B3"/>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43AE"/>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49FD"/>
    <w:rsid w:val="009C4AA1"/>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6011"/>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3D62"/>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55C1C"/>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799"/>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3738C"/>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281E"/>
    <w:rsid w:val="00C93C4B"/>
    <w:rsid w:val="00C944AB"/>
    <w:rsid w:val="00C95763"/>
    <w:rsid w:val="00C95B40"/>
    <w:rsid w:val="00CA1ED8"/>
    <w:rsid w:val="00CB1F63"/>
    <w:rsid w:val="00CB2B23"/>
    <w:rsid w:val="00CB5DBA"/>
    <w:rsid w:val="00CB7170"/>
    <w:rsid w:val="00CC040E"/>
    <w:rsid w:val="00CC111F"/>
    <w:rsid w:val="00CC2011"/>
    <w:rsid w:val="00CC35AF"/>
    <w:rsid w:val="00CC3EA0"/>
    <w:rsid w:val="00CC7B45"/>
    <w:rsid w:val="00CD1188"/>
    <w:rsid w:val="00CD2ED1"/>
    <w:rsid w:val="00CD30ED"/>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51B"/>
    <w:rsid w:val="00D13E4E"/>
    <w:rsid w:val="00D239A7"/>
    <w:rsid w:val="00D23F47"/>
    <w:rsid w:val="00D24056"/>
    <w:rsid w:val="00D3005B"/>
    <w:rsid w:val="00D30297"/>
    <w:rsid w:val="00D36E71"/>
    <w:rsid w:val="00D37D87"/>
    <w:rsid w:val="00D40B33"/>
    <w:rsid w:val="00D4318F"/>
    <w:rsid w:val="00D438BF"/>
    <w:rsid w:val="00D43D3C"/>
    <w:rsid w:val="00D440F8"/>
    <w:rsid w:val="00D538CD"/>
    <w:rsid w:val="00D546FF"/>
    <w:rsid w:val="00D55AD5"/>
    <w:rsid w:val="00D573DB"/>
    <w:rsid w:val="00D576CA"/>
    <w:rsid w:val="00D60E13"/>
    <w:rsid w:val="00D61AF5"/>
    <w:rsid w:val="00D62CD5"/>
    <w:rsid w:val="00D63A0A"/>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96FA3"/>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D29CC"/>
    <w:rsid w:val="00EE6825"/>
    <w:rsid w:val="00EE7734"/>
    <w:rsid w:val="00EF18FE"/>
    <w:rsid w:val="00EF498C"/>
    <w:rsid w:val="00EF5787"/>
    <w:rsid w:val="00EF60D0"/>
    <w:rsid w:val="00F011A3"/>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4989"/>
    <w:rsid w:val="00F27E6A"/>
    <w:rsid w:val="00F30828"/>
    <w:rsid w:val="00F313D6"/>
    <w:rsid w:val="00F32470"/>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5C8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0F93"/>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28D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5C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AA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53E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53E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53E04"/>
    <w:pPr>
      <w:numPr>
        <w:ilvl w:val="2"/>
      </w:numPr>
      <w:spacing w:before="120"/>
      <w:outlineLvl w:val="2"/>
    </w:pPr>
    <w:rPr>
      <w:sz w:val="28"/>
      <w:szCs w:val="28"/>
    </w:rPr>
  </w:style>
  <w:style w:type="paragraph" w:styleId="Heading4">
    <w:name w:val="heading 4"/>
    <w:basedOn w:val="Heading3"/>
    <w:next w:val="Normal"/>
    <w:qFormat/>
    <w:rsid w:val="00353E04"/>
    <w:pPr>
      <w:numPr>
        <w:ilvl w:val="3"/>
      </w:numPr>
      <w:outlineLvl w:val="3"/>
    </w:pPr>
    <w:rPr>
      <w:sz w:val="24"/>
      <w:szCs w:val="24"/>
    </w:rPr>
  </w:style>
  <w:style w:type="paragraph" w:styleId="Heading5">
    <w:name w:val="heading 5"/>
    <w:basedOn w:val="Heading4"/>
    <w:next w:val="Normal"/>
    <w:qFormat/>
    <w:rsid w:val="00353E04"/>
    <w:pPr>
      <w:numPr>
        <w:ilvl w:val="4"/>
      </w:numPr>
      <w:outlineLvl w:val="4"/>
    </w:pPr>
    <w:rPr>
      <w:sz w:val="22"/>
      <w:szCs w:val="22"/>
    </w:rPr>
  </w:style>
  <w:style w:type="paragraph" w:styleId="Heading6">
    <w:name w:val="heading 6"/>
    <w:basedOn w:val="Normal"/>
    <w:next w:val="Normal"/>
    <w:qFormat/>
    <w:rsid w:val="00353E04"/>
    <w:pPr>
      <w:keepNext/>
      <w:keepLines/>
      <w:numPr>
        <w:ilvl w:val="5"/>
        <w:numId w:val="1"/>
      </w:numPr>
      <w:spacing w:before="120"/>
      <w:outlineLvl w:val="5"/>
    </w:pPr>
    <w:rPr>
      <w:rFonts w:cs="Arial"/>
    </w:rPr>
  </w:style>
  <w:style w:type="paragraph" w:styleId="Heading7">
    <w:name w:val="heading 7"/>
    <w:basedOn w:val="Normal"/>
    <w:next w:val="Normal"/>
    <w:qFormat/>
    <w:rsid w:val="00353E04"/>
    <w:pPr>
      <w:keepNext/>
      <w:keepLines/>
      <w:numPr>
        <w:ilvl w:val="6"/>
        <w:numId w:val="1"/>
      </w:numPr>
      <w:spacing w:before="120"/>
      <w:outlineLvl w:val="6"/>
    </w:pPr>
    <w:rPr>
      <w:rFonts w:cs="Arial"/>
    </w:rPr>
  </w:style>
  <w:style w:type="paragraph" w:styleId="Heading8">
    <w:name w:val="heading 8"/>
    <w:basedOn w:val="Heading7"/>
    <w:next w:val="Normal"/>
    <w:qFormat/>
    <w:rsid w:val="00353E04"/>
    <w:pPr>
      <w:numPr>
        <w:ilvl w:val="7"/>
      </w:numPr>
      <w:outlineLvl w:val="7"/>
    </w:pPr>
  </w:style>
  <w:style w:type="paragraph" w:styleId="Heading9">
    <w:name w:val="heading 9"/>
    <w:basedOn w:val="Heading8"/>
    <w:next w:val="Normal"/>
    <w:qFormat/>
    <w:rsid w:val="00353E04"/>
    <w:pPr>
      <w:numPr>
        <w:ilvl w:val="8"/>
      </w:numPr>
      <w:outlineLvl w:val="8"/>
    </w:pPr>
  </w:style>
  <w:style w:type="character" w:default="1" w:styleId="DefaultParagraphFont">
    <w:name w:val="Default Paragraph Font"/>
    <w:uiPriority w:val="1"/>
    <w:semiHidden/>
    <w:unhideWhenUsed/>
    <w:rsid w:val="009C4A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AA1"/>
  </w:style>
  <w:style w:type="paragraph" w:styleId="TOC8">
    <w:name w:val="toc 8"/>
    <w:basedOn w:val="TOC1"/>
    <w:semiHidden/>
    <w:rsid w:val="00353E04"/>
    <w:pPr>
      <w:spacing w:before="180"/>
      <w:ind w:left="2693" w:hanging="2693"/>
    </w:pPr>
    <w:rPr>
      <w:b w:val="0"/>
      <w:bCs/>
    </w:rPr>
  </w:style>
  <w:style w:type="paragraph" w:styleId="TOC1">
    <w:name w:val="toc 1"/>
    <w:aliases w:val="Observation TOC2"/>
    <w:uiPriority w:val="39"/>
    <w:rsid w:val="00353E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53E04"/>
    <w:pPr>
      <w:keepNext/>
      <w:keepLines/>
      <w:spacing w:before="180"/>
      <w:jc w:val="center"/>
    </w:pPr>
  </w:style>
  <w:style w:type="paragraph" w:styleId="Caption">
    <w:name w:val="caption"/>
    <w:basedOn w:val="Normal"/>
    <w:next w:val="Normal"/>
    <w:qFormat/>
    <w:rsid w:val="00353E04"/>
    <w:pPr>
      <w:spacing w:after="240"/>
      <w:jc w:val="center"/>
    </w:pPr>
    <w:rPr>
      <w:b/>
      <w:bCs/>
    </w:rPr>
  </w:style>
  <w:style w:type="paragraph" w:styleId="TOC5">
    <w:name w:val="toc 5"/>
    <w:aliases w:val="Observation TOC"/>
    <w:basedOn w:val="TOC4"/>
    <w:semiHidden/>
    <w:rsid w:val="00353E04"/>
    <w:pPr>
      <w:tabs>
        <w:tab w:val="right" w:pos="1701"/>
      </w:tabs>
      <w:ind w:left="1701" w:hanging="1701"/>
    </w:pPr>
  </w:style>
  <w:style w:type="paragraph" w:styleId="TOC4">
    <w:name w:val="toc 4"/>
    <w:basedOn w:val="TOC3"/>
    <w:semiHidden/>
    <w:rsid w:val="00353E04"/>
    <w:pPr>
      <w:ind w:left="1418" w:hanging="1418"/>
    </w:pPr>
  </w:style>
  <w:style w:type="paragraph" w:styleId="TOC3">
    <w:name w:val="toc 3"/>
    <w:basedOn w:val="TOC2"/>
    <w:semiHidden/>
    <w:rsid w:val="00353E04"/>
    <w:pPr>
      <w:ind w:left="1134" w:hanging="1134"/>
    </w:pPr>
  </w:style>
  <w:style w:type="paragraph" w:styleId="TOC2">
    <w:name w:val="toc 2"/>
    <w:basedOn w:val="TOC1"/>
    <w:semiHidden/>
    <w:rsid w:val="00353E04"/>
    <w:pPr>
      <w:keepNext w:val="0"/>
      <w:spacing w:before="0"/>
      <w:ind w:left="851" w:hanging="851"/>
    </w:pPr>
    <w:rPr>
      <w:szCs w:val="20"/>
    </w:rPr>
  </w:style>
  <w:style w:type="paragraph" w:styleId="Index2">
    <w:name w:val="index 2"/>
    <w:basedOn w:val="Index1"/>
    <w:semiHidden/>
    <w:rsid w:val="00353E04"/>
    <w:pPr>
      <w:ind w:left="284"/>
    </w:pPr>
  </w:style>
  <w:style w:type="paragraph" w:styleId="Index1">
    <w:name w:val="index 1"/>
    <w:basedOn w:val="Normal"/>
    <w:semiHidden/>
    <w:rsid w:val="00353E04"/>
    <w:pPr>
      <w:keepLines/>
      <w:spacing w:after="0"/>
    </w:pPr>
  </w:style>
  <w:style w:type="paragraph" w:styleId="DocumentMap">
    <w:name w:val="Document Map"/>
    <w:basedOn w:val="Normal"/>
    <w:semiHidden/>
    <w:rsid w:val="00353E04"/>
    <w:pPr>
      <w:shd w:val="clear" w:color="auto" w:fill="000080"/>
    </w:pPr>
    <w:rPr>
      <w:rFonts w:ascii="Tahoma" w:hAnsi="Tahoma" w:cs="Tahoma"/>
    </w:rPr>
  </w:style>
  <w:style w:type="paragraph" w:styleId="ListNumber2">
    <w:name w:val="List Number 2"/>
    <w:basedOn w:val="ListNumber"/>
    <w:rsid w:val="00353E04"/>
    <w:pPr>
      <w:ind w:left="851"/>
    </w:pPr>
  </w:style>
  <w:style w:type="paragraph" w:styleId="ListNumber">
    <w:name w:val="List Number"/>
    <w:basedOn w:val="List"/>
    <w:rsid w:val="00353E04"/>
  </w:style>
  <w:style w:type="paragraph" w:styleId="List">
    <w:name w:val="List"/>
    <w:basedOn w:val="Normal"/>
    <w:rsid w:val="00353E04"/>
    <w:pPr>
      <w:ind w:left="568" w:hanging="284"/>
    </w:pPr>
  </w:style>
  <w:style w:type="paragraph" w:styleId="Header">
    <w:name w:val="header"/>
    <w:rsid w:val="00353E0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53E04"/>
    <w:rPr>
      <w:b/>
      <w:bCs/>
      <w:position w:val="6"/>
      <w:sz w:val="16"/>
      <w:szCs w:val="16"/>
    </w:rPr>
  </w:style>
  <w:style w:type="paragraph" w:styleId="FootnoteText">
    <w:name w:val="footnote text"/>
    <w:basedOn w:val="Normal"/>
    <w:semiHidden/>
    <w:rsid w:val="00353E04"/>
    <w:pPr>
      <w:keepLines/>
      <w:spacing w:after="0"/>
      <w:ind w:left="454" w:hanging="454"/>
    </w:pPr>
    <w:rPr>
      <w:sz w:val="16"/>
      <w:szCs w:val="16"/>
    </w:rPr>
  </w:style>
  <w:style w:type="paragraph" w:customStyle="1" w:styleId="3GPPHeader">
    <w:name w:val="3GPP_Header"/>
    <w:basedOn w:val="Normal"/>
    <w:rsid w:val="00353E04"/>
    <w:pPr>
      <w:tabs>
        <w:tab w:val="left" w:pos="1701"/>
        <w:tab w:val="right" w:pos="9639"/>
      </w:tabs>
      <w:spacing w:after="240"/>
    </w:pPr>
    <w:rPr>
      <w:b/>
      <w:sz w:val="24"/>
    </w:rPr>
  </w:style>
  <w:style w:type="paragraph" w:styleId="TOC9">
    <w:name w:val="toc 9"/>
    <w:basedOn w:val="TOC8"/>
    <w:semiHidden/>
    <w:rsid w:val="00353E04"/>
    <w:pPr>
      <w:ind w:left="1418" w:hanging="1418"/>
    </w:pPr>
  </w:style>
  <w:style w:type="paragraph" w:styleId="TOC6">
    <w:name w:val="toc 6"/>
    <w:basedOn w:val="TOC5"/>
    <w:next w:val="Normal"/>
    <w:semiHidden/>
    <w:rsid w:val="00353E04"/>
    <w:pPr>
      <w:ind w:left="1985" w:hanging="1985"/>
    </w:pPr>
  </w:style>
  <w:style w:type="paragraph" w:styleId="TOC7">
    <w:name w:val="toc 7"/>
    <w:basedOn w:val="TOC6"/>
    <w:next w:val="Normal"/>
    <w:semiHidden/>
    <w:rsid w:val="00353E04"/>
    <w:pPr>
      <w:ind w:left="2268" w:hanging="2268"/>
    </w:pPr>
  </w:style>
  <w:style w:type="paragraph" w:styleId="ListBullet2">
    <w:name w:val="List Bullet 2"/>
    <w:basedOn w:val="ListBullet"/>
    <w:rsid w:val="00353E04"/>
    <w:pPr>
      <w:numPr>
        <w:numId w:val="6"/>
      </w:numPr>
    </w:pPr>
  </w:style>
  <w:style w:type="paragraph" w:styleId="ListBullet">
    <w:name w:val="List Bullet"/>
    <w:basedOn w:val="BodyText"/>
    <w:rsid w:val="00353E04"/>
    <w:pPr>
      <w:numPr>
        <w:numId w:val="5"/>
      </w:numPr>
    </w:pPr>
  </w:style>
  <w:style w:type="paragraph" w:styleId="ListBullet3">
    <w:name w:val="List Bullet 3"/>
    <w:basedOn w:val="ListBullet2"/>
    <w:rsid w:val="00353E04"/>
    <w:pPr>
      <w:numPr>
        <w:numId w:val="7"/>
      </w:numPr>
    </w:pPr>
  </w:style>
  <w:style w:type="paragraph" w:customStyle="1" w:styleId="EQ">
    <w:name w:val="EQ"/>
    <w:basedOn w:val="Normal"/>
    <w:next w:val="Normal"/>
    <w:rsid w:val="00353E04"/>
    <w:pPr>
      <w:keepLines/>
      <w:tabs>
        <w:tab w:val="center" w:pos="4536"/>
        <w:tab w:val="right" w:pos="9072"/>
      </w:tabs>
      <w:spacing w:after="180"/>
    </w:pPr>
    <w:rPr>
      <w:noProof/>
    </w:rPr>
  </w:style>
  <w:style w:type="paragraph" w:styleId="List2">
    <w:name w:val="List 2"/>
    <w:basedOn w:val="List"/>
    <w:rsid w:val="00353E04"/>
    <w:pPr>
      <w:ind w:left="851"/>
    </w:pPr>
  </w:style>
  <w:style w:type="paragraph" w:styleId="List3">
    <w:name w:val="List 3"/>
    <w:basedOn w:val="List2"/>
    <w:rsid w:val="00353E04"/>
    <w:pPr>
      <w:ind w:left="1135"/>
    </w:pPr>
  </w:style>
  <w:style w:type="paragraph" w:styleId="List4">
    <w:name w:val="List 4"/>
    <w:basedOn w:val="List3"/>
    <w:rsid w:val="00353E04"/>
    <w:pPr>
      <w:ind w:left="1418"/>
    </w:pPr>
  </w:style>
  <w:style w:type="paragraph" w:styleId="List5">
    <w:name w:val="List 5"/>
    <w:basedOn w:val="List4"/>
    <w:rsid w:val="00353E04"/>
    <w:pPr>
      <w:ind w:left="1702"/>
    </w:pPr>
  </w:style>
  <w:style w:type="paragraph" w:customStyle="1" w:styleId="EditorsNote">
    <w:name w:val="Editor's Note"/>
    <w:basedOn w:val="Normal"/>
    <w:rsid w:val="00353E04"/>
    <w:pPr>
      <w:keepLines/>
      <w:spacing w:after="180"/>
      <w:ind w:left="1135" w:hanging="851"/>
    </w:pPr>
    <w:rPr>
      <w:color w:val="FF0000"/>
    </w:rPr>
  </w:style>
  <w:style w:type="paragraph" w:styleId="ListBullet4">
    <w:name w:val="List Bullet 4"/>
    <w:basedOn w:val="ListBullet3"/>
    <w:rsid w:val="00353E04"/>
    <w:pPr>
      <w:numPr>
        <w:numId w:val="8"/>
      </w:numPr>
    </w:pPr>
  </w:style>
  <w:style w:type="paragraph" w:styleId="ListBullet5">
    <w:name w:val="List Bullet 5"/>
    <w:basedOn w:val="ListBullet4"/>
    <w:rsid w:val="00353E04"/>
    <w:pPr>
      <w:numPr>
        <w:numId w:val="4"/>
      </w:numPr>
    </w:pPr>
  </w:style>
  <w:style w:type="paragraph" w:styleId="Footer">
    <w:name w:val="footer"/>
    <w:basedOn w:val="Header"/>
    <w:semiHidden/>
    <w:rsid w:val="00353E04"/>
    <w:pPr>
      <w:jc w:val="center"/>
    </w:pPr>
    <w:rPr>
      <w:i/>
      <w:iCs/>
    </w:rPr>
  </w:style>
  <w:style w:type="paragraph" w:customStyle="1" w:styleId="Reference">
    <w:name w:val="Reference"/>
    <w:basedOn w:val="Normal"/>
    <w:rsid w:val="00353E04"/>
    <w:pPr>
      <w:numPr>
        <w:numId w:val="2"/>
      </w:numPr>
    </w:pPr>
  </w:style>
  <w:style w:type="paragraph" w:styleId="BalloonText">
    <w:name w:val="Balloon Text"/>
    <w:basedOn w:val="Normal"/>
    <w:semiHidden/>
    <w:rsid w:val="00353E04"/>
    <w:rPr>
      <w:rFonts w:ascii="Tahoma" w:hAnsi="Tahoma" w:cs="Tahoma"/>
      <w:sz w:val="16"/>
      <w:szCs w:val="16"/>
    </w:rPr>
  </w:style>
  <w:style w:type="character" w:styleId="PageNumber">
    <w:name w:val="page number"/>
    <w:basedOn w:val="DefaultParagraphFont"/>
    <w:semiHidden/>
    <w:rsid w:val="00353E04"/>
  </w:style>
  <w:style w:type="paragraph" w:styleId="BodyText">
    <w:name w:val="Body Text"/>
    <w:basedOn w:val="Normal"/>
    <w:link w:val="BodyTextChar"/>
    <w:rsid w:val="00353E04"/>
  </w:style>
  <w:style w:type="character" w:styleId="Hyperlink">
    <w:name w:val="Hyperlink"/>
    <w:uiPriority w:val="99"/>
    <w:rsid w:val="00353E04"/>
    <w:rPr>
      <w:color w:val="0000FF"/>
      <w:u w:val="single"/>
      <w:lang w:val="en-GB"/>
    </w:rPr>
  </w:style>
  <w:style w:type="character" w:styleId="FollowedHyperlink">
    <w:name w:val="FollowedHyperlink"/>
    <w:semiHidden/>
    <w:rsid w:val="00353E04"/>
    <w:rPr>
      <w:color w:val="FF0000"/>
      <w:u w:val="single"/>
    </w:rPr>
  </w:style>
  <w:style w:type="character" w:styleId="CommentReference">
    <w:name w:val="annotation reference"/>
    <w:semiHidden/>
    <w:rsid w:val="00353E04"/>
    <w:rPr>
      <w:sz w:val="16"/>
      <w:szCs w:val="16"/>
    </w:rPr>
  </w:style>
  <w:style w:type="paragraph" w:styleId="CommentText">
    <w:name w:val="annotation text"/>
    <w:basedOn w:val="Normal"/>
    <w:semiHidden/>
    <w:rsid w:val="00353E04"/>
  </w:style>
  <w:style w:type="paragraph" w:styleId="CommentSubject">
    <w:name w:val="annotation subject"/>
    <w:basedOn w:val="CommentText"/>
    <w:next w:val="CommentText"/>
    <w:semiHidden/>
    <w:rsid w:val="00353E04"/>
    <w:rPr>
      <w:b/>
      <w:bCs/>
    </w:rPr>
  </w:style>
  <w:style w:type="character" w:customStyle="1" w:styleId="Heading1Char">
    <w:name w:val="Heading 1 Char"/>
    <w:link w:val="Heading1"/>
    <w:rsid w:val="00353E04"/>
    <w:rPr>
      <w:rFonts w:ascii="Arial" w:hAnsi="Arial" w:cs="Arial"/>
      <w:sz w:val="36"/>
      <w:szCs w:val="36"/>
      <w:lang w:val="en-GB"/>
    </w:rPr>
  </w:style>
  <w:style w:type="paragraph" w:customStyle="1" w:styleId="B1">
    <w:name w:val="B1"/>
    <w:basedOn w:val="List"/>
    <w:rsid w:val="00353E04"/>
    <w:pPr>
      <w:spacing w:after="180"/>
    </w:pPr>
  </w:style>
  <w:style w:type="paragraph" w:customStyle="1" w:styleId="B2">
    <w:name w:val="B2"/>
    <w:basedOn w:val="List2"/>
    <w:rsid w:val="00353E04"/>
    <w:pPr>
      <w:spacing w:after="180"/>
    </w:pPr>
  </w:style>
  <w:style w:type="paragraph" w:customStyle="1" w:styleId="B3">
    <w:name w:val="B3"/>
    <w:basedOn w:val="List3"/>
    <w:rsid w:val="00353E04"/>
    <w:pPr>
      <w:spacing w:after="180"/>
    </w:pPr>
  </w:style>
  <w:style w:type="paragraph" w:customStyle="1" w:styleId="B4">
    <w:name w:val="B4"/>
    <w:basedOn w:val="List4"/>
    <w:rsid w:val="00353E04"/>
    <w:pPr>
      <w:spacing w:after="180"/>
    </w:pPr>
  </w:style>
  <w:style w:type="paragraph" w:customStyle="1" w:styleId="Proposal">
    <w:name w:val="Proposal"/>
    <w:basedOn w:val="Normal"/>
    <w:rsid w:val="00353E04"/>
    <w:pPr>
      <w:numPr>
        <w:numId w:val="3"/>
      </w:numPr>
      <w:tabs>
        <w:tab w:val="clear" w:pos="1304"/>
        <w:tab w:val="left" w:pos="1701"/>
      </w:tabs>
      <w:ind w:left="1701" w:hanging="1701"/>
    </w:pPr>
    <w:rPr>
      <w:b/>
      <w:bCs/>
    </w:rPr>
  </w:style>
  <w:style w:type="character" w:customStyle="1" w:styleId="BodyTextChar">
    <w:name w:val="Body Text Char"/>
    <w:link w:val="BodyText"/>
    <w:rsid w:val="00353E04"/>
    <w:rPr>
      <w:rFonts w:ascii="Arial" w:hAnsi="Arial"/>
      <w:lang w:val="en-GB"/>
    </w:rPr>
  </w:style>
  <w:style w:type="paragraph" w:customStyle="1" w:styleId="B5">
    <w:name w:val="B5"/>
    <w:basedOn w:val="List5"/>
    <w:rsid w:val="00353E04"/>
    <w:pPr>
      <w:spacing w:after="180"/>
    </w:pPr>
  </w:style>
  <w:style w:type="paragraph" w:customStyle="1" w:styleId="EX">
    <w:name w:val="EX"/>
    <w:basedOn w:val="Normal"/>
    <w:rsid w:val="00353E04"/>
    <w:pPr>
      <w:keepLines/>
      <w:spacing w:after="180"/>
      <w:ind w:left="1702" w:hanging="1418"/>
    </w:pPr>
  </w:style>
  <w:style w:type="paragraph" w:customStyle="1" w:styleId="EW">
    <w:name w:val="EW"/>
    <w:basedOn w:val="EX"/>
    <w:rsid w:val="00353E04"/>
    <w:pPr>
      <w:spacing w:after="0"/>
    </w:pPr>
  </w:style>
  <w:style w:type="paragraph" w:customStyle="1" w:styleId="TAL">
    <w:name w:val="TAL"/>
    <w:basedOn w:val="Normal"/>
    <w:rsid w:val="00353E04"/>
    <w:pPr>
      <w:keepNext/>
      <w:keepLines/>
      <w:spacing w:after="0"/>
    </w:pPr>
    <w:rPr>
      <w:sz w:val="18"/>
    </w:rPr>
  </w:style>
  <w:style w:type="paragraph" w:customStyle="1" w:styleId="TAC">
    <w:name w:val="TAC"/>
    <w:basedOn w:val="TAL"/>
    <w:rsid w:val="00353E04"/>
    <w:pPr>
      <w:jc w:val="center"/>
    </w:pPr>
  </w:style>
  <w:style w:type="paragraph" w:customStyle="1" w:styleId="TAH">
    <w:name w:val="TAH"/>
    <w:basedOn w:val="TAC"/>
    <w:rsid w:val="00353E04"/>
    <w:rPr>
      <w:b/>
    </w:rPr>
  </w:style>
  <w:style w:type="paragraph" w:customStyle="1" w:styleId="TAN">
    <w:name w:val="TAN"/>
    <w:basedOn w:val="TAL"/>
    <w:rsid w:val="00353E04"/>
    <w:pPr>
      <w:ind w:left="851" w:hanging="851"/>
    </w:pPr>
  </w:style>
  <w:style w:type="paragraph" w:customStyle="1" w:styleId="TAR">
    <w:name w:val="TAR"/>
    <w:basedOn w:val="TAL"/>
    <w:rsid w:val="00353E04"/>
    <w:pPr>
      <w:jc w:val="right"/>
    </w:pPr>
  </w:style>
  <w:style w:type="paragraph" w:customStyle="1" w:styleId="TH">
    <w:name w:val="TH"/>
    <w:basedOn w:val="Normal"/>
    <w:rsid w:val="00353E04"/>
    <w:pPr>
      <w:keepNext/>
      <w:keepLines/>
      <w:spacing w:before="60" w:after="180"/>
      <w:jc w:val="center"/>
    </w:pPr>
    <w:rPr>
      <w:b/>
    </w:rPr>
  </w:style>
  <w:style w:type="paragraph" w:customStyle="1" w:styleId="TF">
    <w:name w:val="TF"/>
    <w:basedOn w:val="TH"/>
    <w:rsid w:val="00353E04"/>
    <w:pPr>
      <w:keepNext w:val="0"/>
      <w:spacing w:before="0" w:after="240"/>
    </w:pPr>
  </w:style>
  <w:style w:type="paragraph" w:customStyle="1" w:styleId="TT">
    <w:name w:val="TT"/>
    <w:basedOn w:val="Heading1"/>
    <w:next w:val="Normal"/>
    <w:rsid w:val="00353E04"/>
    <w:pPr>
      <w:numPr>
        <w:numId w:val="0"/>
      </w:numPr>
      <w:ind w:left="1134" w:hanging="1134"/>
      <w:outlineLvl w:val="9"/>
    </w:pPr>
    <w:rPr>
      <w:rFonts w:cs="Times New Roman"/>
      <w:szCs w:val="20"/>
      <w:lang w:eastAsia="en-US"/>
    </w:rPr>
  </w:style>
  <w:style w:type="paragraph" w:customStyle="1" w:styleId="ZA">
    <w:name w:val="ZA"/>
    <w:rsid w:val="00353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3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53E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53E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53E04"/>
  </w:style>
  <w:style w:type="paragraph" w:customStyle="1" w:styleId="ZH">
    <w:name w:val="ZH"/>
    <w:rsid w:val="00353E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53E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53E04"/>
    <w:pPr>
      <w:framePr w:hRule="auto" w:wrap="notBeside" w:y="852"/>
    </w:pPr>
    <w:rPr>
      <w:i w:val="0"/>
      <w:sz w:val="40"/>
    </w:rPr>
  </w:style>
  <w:style w:type="paragraph" w:customStyle="1" w:styleId="ZU">
    <w:name w:val="ZU"/>
    <w:rsid w:val="00353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53E04"/>
    <w:pPr>
      <w:framePr w:wrap="notBeside" w:y="16161"/>
    </w:pPr>
  </w:style>
  <w:style w:type="paragraph" w:customStyle="1" w:styleId="FP">
    <w:name w:val="FP"/>
    <w:basedOn w:val="Normal"/>
    <w:rsid w:val="00353E04"/>
    <w:pPr>
      <w:spacing w:after="0"/>
    </w:pPr>
  </w:style>
  <w:style w:type="paragraph" w:customStyle="1" w:styleId="Observation">
    <w:name w:val="Observation"/>
    <w:basedOn w:val="Proposal"/>
    <w:qFormat/>
    <w:rsid w:val="00353E04"/>
    <w:pPr>
      <w:numPr>
        <w:numId w:val="13"/>
      </w:numPr>
      <w:ind w:left="1701" w:hanging="1701"/>
    </w:pPr>
  </w:style>
  <w:style w:type="paragraph" w:styleId="TableofFigures">
    <w:name w:val="table of figures"/>
    <w:basedOn w:val="Normal"/>
    <w:next w:val="Normal"/>
    <w:uiPriority w:val="99"/>
    <w:rsid w:val="00353E04"/>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5NUHHDQN7SK2-1476151046-15650</_dlc_DocId>
    <_dlc_DocIdUrl xmlns="f166a696-7b5b-4ccd-9f0c-ffde0cceec81">
      <Url>https://ericsson.sharepoint.com/sites/star/_layouts/15/DocIdRedir.aspx?ID=5NUHHDQN7SK2-1476151046-15650</Url>
      <Description>5NUHHDQN7SK2-1476151046-15650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E0587EC-E984-4FEB-B1CC-491685F04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60DB4-D9D7-4B23-A7F6-3981D820521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7F4E36B6-5CF2-4180-8D9A-07AFA3637996}">
  <ds:schemaRefs>
    <ds:schemaRef ds:uri="http://schemas.microsoft.com/sharepoint/v3/contenttype/forms"/>
  </ds:schemaRefs>
</ds:datastoreItem>
</file>

<file path=customXml/itemProps4.xml><?xml version="1.0" encoding="utf-8"?>
<ds:datastoreItem xmlns:ds="http://schemas.openxmlformats.org/officeDocument/2006/customXml" ds:itemID="{73C1B117-D5AE-4350-B77E-62587FF23BAB}">
  <ds:schemaRefs>
    <ds:schemaRef ds:uri="http://schemas.microsoft.com/sharepoint/events"/>
  </ds:schemaRefs>
</ds:datastoreItem>
</file>

<file path=customXml/itemProps5.xml><?xml version="1.0" encoding="utf-8"?>
<ds:datastoreItem xmlns:ds="http://schemas.openxmlformats.org/officeDocument/2006/customXml" ds:itemID="{65402FA2-C0CF-4001-8CB9-A184A6026E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2018-01-11T20:44:00Z</dcterms:created>
  <dcterms:modified xsi:type="dcterms:W3CDTF">2018-01-12T01:18:00Z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528a7b68-5f62-4de1-84d6-8f0a9b03c2db</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